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35" w:rsidRPr="008C555E" w:rsidRDefault="001A4A94" w:rsidP="001A4A94">
      <w:pPr>
        <w:jc w:val="center"/>
        <w:rPr>
          <w:rFonts w:ascii="標楷體" w:eastAsia="標楷體" w:hAnsi="標楷體"/>
        </w:rPr>
      </w:pPr>
      <w:r w:rsidRPr="008C555E">
        <w:rPr>
          <w:rFonts w:ascii="標楷體" w:eastAsia="標楷體" w:hAnsi="標楷體" w:hint="eastAsia"/>
        </w:rPr>
        <w:t>我的教育專欄(65)博幼基金會的進步</w:t>
      </w:r>
    </w:p>
    <w:p w:rsidR="001A4A94" w:rsidRPr="008C555E" w:rsidRDefault="001A4A94" w:rsidP="001A4A94">
      <w:pPr>
        <w:jc w:val="center"/>
        <w:rPr>
          <w:rFonts w:ascii="標楷體" w:eastAsia="標楷體" w:hAnsi="標楷體"/>
        </w:rPr>
      </w:pPr>
    </w:p>
    <w:p w:rsidR="001A4A94" w:rsidRPr="008C555E" w:rsidRDefault="001A4A94" w:rsidP="001A4A94">
      <w:pPr>
        <w:jc w:val="center"/>
        <w:rPr>
          <w:rFonts w:ascii="標楷體" w:eastAsia="標楷體" w:hAnsi="標楷體"/>
        </w:rPr>
      </w:pPr>
      <w:r w:rsidRPr="008C555E">
        <w:rPr>
          <w:rFonts w:ascii="標楷體" w:eastAsia="標楷體" w:hAnsi="標楷體" w:hint="eastAsia"/>
        </w:rPr>
        <w:t>李家同</w:t>
      </w:r>
    </w:p>
    <w:p w:rsidR="001A4A94" w:rsidRPr="008C555E" w:rsidRDefault="001A4A94" w:rsidP="001A4A94">
      <w:pPr>
        <w:jc w:val="center"/>
        <w:rPr>
          <w:rFonts w:ascii="標楷體" w:eastAsia="標楷體" w:hAnsi="標楷體"/>
        </w:rPr>
      </w:pPr>
    </w:p>
    <w:p w:rsidR="001A4A94" w:rsidRPr="008C555E" w:rsidRDefault="001A4A94" w:rsidP="001A4A94">
      <w:pPr>
        <w:rPr>
          <w:rFonts w:ascii="標楷體" w:eastAsia="標楷體" w:hAnsi="標楷體"/>
        </w:rPr>
      </w:pPr>
      <w:r w:rsidRPr="008C555E">
        <w:rPr>
          <w:rFonts w:ascii="標楷體" w:eastAsia="標楷體" w:hAnsi="標楷體" w:hint="eastAsia"/>
        </w:rPr>
        <w:tab/>
        <w:t>博幼基金會專門幫助</w:t>
      </w:r>
      <w:r w:rsidR="00D74C36" w:rsidRPr="008C555E">
        <w:rPr>
          <w:rFonts w:ascii="標楷體" w:eastAsia="標楷體" w:hAnsi="標楷體" w:hint="eastAsia"/>
        </w:rPr>
        <w:t>課業落後</w:t>
      </w:r>
      <w:r w:rsidRPr="008C555E">
        <w:rPr>
          <w:rFonts w:ascii="標楷體" w:eastAsia="標楷體" w:hAnsi="標楷體" w:hint="eastAsia"/>
        </w:rPr>
        <w:t>的小孩，所以我們很重視他們到底和全國的同學有沒有很大的差異。自從會考實施以後，政府會公布待加強的人數百分比，我們當然只能管到英文和數學，現在我將近三年來的統計資料放在下面:</w:t>
      </w:r>
    </w:p>
    <w:p w:rsidR="001A4A94" w:rsidRPr="008C555E" w:rsidRDefault="001A4A94" w:rsidP="001A4A94">
      <w:pPr>
        <w:rPr>
          <w:rFonts w:ascii="標楷體" w:eastAsia="標楷體" w:hAnsi="標楷體"/>
        </w:rPr>
      </w:pPr>
    </w:p>
    <w:tbl>
      <w:tblPr>
        <w:tblStyle w:val="a3"/>
        <w:tblW w:w="0" w:type="auto"/>
        <w:jc w:val="center"/>
        <w:tblLook w:val="04A0" w:firstRow="1" w:lastRow="0" w:firstColumn="1" w:lastColumn="0" w:noHBand="0" w:noVBand="1"/>
      </w:tblPr>
      <w:tblGrid>
        <w:gridCol w:w="1393"/>
        <w:gridCol w:w="1769"/>
        <w:gridCol w:w="1770"/>
        <w:gridCol w:w="1770"/>
        <w:gridCol w:w="1770"/>
      </w:tblGrid>
      <w:tr w:rsidR="008C555E" w:rsidRPr="008C555E" w:rsidTr="001A4A94">
        <w:trPr>
          <w:jc w:val="center"/>
        </w:trPr>
        <w:tc>
          <w:tcPr>
            <w:tcW w:w="1393" w:type="dxa"/>
          </w:tcPr>
          <w:p w:rsidR="001A4A94" w:rsidRPr="008C555E" w:rsidRDefault="001A4A94" w:rsidP="00551C54">
            <w:pPr>
              <w:jc w:val="center"/>
              <w:rPr>
                <w:rFonts w:ascii="標楷體" w:eastAsia="標楷體" w:hAnsi="標楷體"/>
              </w:rPr>
            </w:pPr>
          </w:p>
        </w:tc>
        <w:tc>
          <w:tcPr>
            <w:tcW w:w="1769" w:type="dxa"/>
          </w:tcPr>
          <w:p w:rsidR="00551C54" w:rsidRPr="008C555E" w:rsidRDefault="001A4A94" w:rsidP="00551C54">
            <w:pPr>
              <w:jc w:val="center"/>
              <w:rPr>
                <w:rFonts w:ascii="標楷體" w:eastAsia="標楷體" w:hAnsi="標楷體"/>
              </w:rPr>
            </w:pPr>
            <w:r w:rsidRPr="008C555E">
              <w:rPr>
                <w:rFonts w:ascii="標楷體" w:eastAsia="標楷體" w:hAnsi="標楷體" w:hint="eastAsia"/>
              </w:rPr>
              <w:t>全國英文</w:t>
            </w:r>
          </w:p>
          <w:p w:rsidR="001A4A94" w:rsidRPr="008C555E" w:rsidRDefault="001A4A94" w:rsidP="00551C54">
            <w:pPr>
              <w:jc w:val="center"/>
              <w:rPr>
                <w:rFonts w:ascii="標楷體" w:eastAsia="標楷體" w:hAnsi="標楷體"/>
              </w:rPr>
            </w:pPr>
            <w:r w:rsidRPr="008C555E">
              <w:rPr>
                <w:rFonts w:ascii="標楷體" w:eastAsia="標楷體" w:hAnsi="標楷體" w:hint="eastAsia"/>
              </w:rPr>
              <w:t>待加強比例</w:t>
            </w:r>
          </w:p>
        </w:tc>
        <w:tc>
          <w:tcPr>
            <w:tcW w:w="1770" w:type="dxa"/>
          </w:tcPr>
          <w:p w:rsidR="00551C54" w:rsidRPr="008C555E" w:rsidRDefault="001A4A94" w:rsidP="00551C54">
            <w:pPr>
              <w:jc w:val="center"/>
              <w:rPr>
                <w:rFonts w:ascii="標楷體" w:eastAsia="標楷體" w:hAnsi="標楷體"/>
              </w:rPr>
            </w:pPr>
            <w:r w:rsidRPr="008C555E">
              <w:rPr>
                <w:rFonts w:ascii="標楷體" w:eastAsia="標楷體" w:hAnsi="標楷體" w:hint="eastAsia"/>
              </w:rPr>
              <w:t>博幼英文</w:t>
            </w:r>
          </w:p>
          <w:p w:rsidR="001A4A94" w:rsidRPr="008C555E" w:rsidRDefault="001A4A94" w:rsidP="00551C54">
            <w:pPr>
              <w:jc w:val="center"/>
              <w:rPr>
                <w:rFonts w:ascii="標楷體" w:eastAsia="標楷體" w:hAnsi="標楷體"/>
              </w:rPr>
            </w:pPr>
            <w:r w:rsidRPr="008C555E">
              <w:rPr>
                <w:rFonts w:ascii="標楷體" w:eastAsia="標楷體" w:hAnsi="標楷體" w:hint="eastAsia"/>
              </w:rPr>
              <w:t>待加強比例</w:t>
            </w:r>
          </w:p>
        </w:tc>
        <w:tc>
          <w:tcPr>
            <w:tcW w:w="1770" w:type="dxa"/>
          </w:tcPr>
          <w:p w:rsidR="00551C54" w:rsidRPr="008C555E" w:rsidRDefault="001A4A94" w:rsidP="00551C54">
            <w:pPr>
              <w:jc w:val="center"/>
              <w:rPr>
                <w:rFonts w:ascii="標楷體" w:eastAsia="標楷體" w:hAnsi="標楷體"/>
              </w:rPr>
            </w:pPr>
            <w:r w:rsidRPr="008C555E">
              <w:rPr>
                <w:rFonts w:ascii="標楷體" w:eastAsia="標楷體" w:hAnsi="標楷體" w:hint="eastAsia"/>
              </w:rPr>
              <w:t>全國數學</w:t>
            </w:r>
          </w:p>
          <w:p w:rsidR="001A4A94" w:rsidRPr="008C555E" w:rsidRDefault="001A4A94" w:rsidP="00551C54">
            <w:pPr>
              <w:jc w:val="center"/>
              <w:rPr>
                <w:rFonts w:ascii="標楷體" w:eastAsia="標楷體" w:hAnsi="標楷體"/>
              </w:rPr>
            </w:pPr>
            <w:r w:rsidRPr="008C555E">
              <w:rPr>
                <w:rFonts w:ascii="標楷體" w:eastAsia="標楷體" w:hAnsi="標楷體" w:hint="eastAsia"/>
              </w:rPr>
              <w:t>待加強比例</w:t>
            </w:r>
          </w:p>
        </w:tc>
        <w:tc>
          <w:tcPr>
            <w:tcW w:w="1770" w:type="dxa"/>
          </w:tcPr>
          <w:p w:rsidR="00551C54" w:rsidRPr="008C555E" w:rsidRDefault="001A4A94" w:rsidP="00551C54">
            <w:pPr>
              <w:jc w:val="center"/>
              <w:rPr>
                <w:rFonts w:ascii="標楷體" w:eastAsia="標楷體" w:hAnsi="標楷體"/>
              </w:rPr>
            </w:pPr>
            <w:r w:rsidRPr="008C555E">
              <w:rPr>
                <w:rFonts w:ascii="標楷體" w:eastAsia="標楷體" w:hAnsi="標楷體" w:hint="eastAsia"/>
              </w:rPr>
              <w:t>博幼數學</w:t>
            </w:r>
          </w:p>
          <w:p w:rsidR="001A4A94" w:rsidRPr="008C555E" w:rsidRDefault="001A4A94" w:rsidP="00551C54">
            <w:pPr>
              <w:jc w:val="center"/>
              <w:rPr>
                <w:rFonts w:ascii="標楷體" w:eastAsia="標楷體" w:hAnsi="標楷體"/>
              </w:rPr>
            </w:pPr>
            <w:r w:rsidRPr="008C555E">
              <w:rPr>
                <w:rFonts w:ascii="標楷體" w:eastAsia="標楷體" w:hAnsi="標楷體" w:hint="eastAsia"/>
              </w:rPr>
              <w:t>待加強比例</w:t>
            </w:r>
          </w:p>
        </w:tc>
      </w:tr>
      <w:tr w:rsidR="008C555E" w:rsidRPr="008C555E" w:rsidTr="001A4A94">
        <w:trPr>
          <w:jc w:val="center"/>
        </w:trPr>
        <w:tc>
          <w:tcPr>
            <w:tcW w:w="1393" w:type="dxa"/>
          </w:tcPr>
          <w:p w:rsidR="001A4A94" w:rsidRPr="008C555E" w:rsidRDefault="001A4A94" w:rsidP="0049179D">
            <w:pPr>
              <w:rPr>
                <w:rFonts w:ascii="標楷體" w:eastAsia="標楷體" w:hAnsi="標楷體"/>
              </w:rPr>
            </w:pPr>
            <w:r w:rsidRPr="008C555E">
              <w:rPr>
                <w:rFonts w:ascii="標楷體" w:eastAsia="標楷體" w:hAnsi="標楷體" w:hint="eastAsia"/>
              </w:rPr>
              <w:t>103年國中教育會考</w:t>
            </w:r>
          </w:p>
        </w:tc>
        <w:tc>
          <w:tcPr>
            <w:tcW w:w="1769"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33.73%</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53.28%</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33.40%</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54.92%</w:t>
            </w:r>
          </w:p>
        </w:tc>
      </w:tr>
      <w:tr w:rsidR="008C555E" w:rsidRPr="008C555E" w:rsidTr="001A4A94">
        <w:trPr>
          <w:jc w:val="center"/>
        </w:trPr>
        <w:tc>
          <w:tcPr>
            <w:tcW w:w="1393" w:type="dxa"/>
          </w:tcPr>
          <w:p w:rsidR="001A4A94" w:rsidRPr="008C555E" w:rsidRDefault="001A4A94" w:rsidP="0049179D">
            <w:pPr>
              <w:rPr>
                <w:rFonts w:ascii="標楷體" w:eastAsia="標楷體" w:hAnsi="標楷體"/>
              </w:rPr>
            </w:pPr>
            <w:r w:rsidRPr="008C555E">
              <w:rPr>
                <w:rFonts w:ascii="標楷體" w:eastAsia="標楷體" w:hAnsi="標楷體" w:hint="eastAsia"/>
              </w:rPr>
              <w:t xml:space="preserve">104年國中教育會考 </w:t>
            </w:r>
          </w:p>
        </w:tc>
        <w:tc>
          <w:tcPr>
            <w:tcW w:w="1769"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33.20%</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41.67%</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33.22%</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44.17%</w:t>
            </w:r>
          </w:p>
        </w:tc>
      </w:tr>
      <w:tr w:rsidR="001A4A94" w:rsidRPr="008C555E" w:rsidTr="001A4A94">
        <w:trPr>
          <w:jc w:val="center"/>
        </w:trPr>
        <w:tc>
          <w:tcPr>
            <w:tcW w:w="1393" w:type="dxa"/>
          </w:tcPr>
          <w:p w:rsidR="001A4A94" w:rsidRPr="008C555E" w:rsidRDefault="001A4A94" w:rsidP="0049179D">
            <w:pPr>
              <w:rPr>
                <w:rFonts w:ascii="標楷體" w:eastAsia="標楷體" w:hAnsi="標楷體"/>
              </w:rPr>
            </w:pPr>
            <w:r w:rsidRPr="008C555E">
              <w:rPr>
                <w:rFonts w:ascii="標楷體" w:eastAsia="標楷體" w:hAnsi="標楷體" w:hint="eastAsia"/>
              </w:rPr>
              <w:t>105年國中教育會考</w:t>
            </w:r>
          </w:p>
        </w:tc>
        <w:tc>
          <w:tcPr>
            <w:tcW w:w="1769"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31.54%</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36.72%</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31.98%</w:t>
            </w:r>
          </w:p>
        </w:tc>
        <w:tc>
          <w:tcPr>
            <w:tcW w:w="1770" w:type="dxa"/>
          </w:tcPr>
          <w:p w:rsidR="001A4A94" w:rsidRPr="008C555E" w:rsidRDefault="001A4A94" w:rsidP="001A4A94">
            <w:pPr>
              <w:jc w:val="center"/>
              <w:rPr>
                <w:rFonts w:ascii="標楷體" w:eastAsia="標楷體" w:hAnsi="標楷體"/>
              </w:rPr>
            </w:pPr>
            <w:r w:rsidRPr="008C555E">
              <w:rPr>
                <w:rFonts w:ascii="標楷體" w:eastAsia="標楷體" w:hAnsi="標楷體" w:hint="eastAsia"/>
              </w:rPr>
              <w:t>38.28%</w:t>
            </w:r>
          </w:p>
        </w:tc>
      </w:tr>
    </w:tbl>
    <w:p w:rsidR="001A4A94" w:rsidRPr="008C555E" w:rsidRDefault="001A4A94" w:rsidP="001A4A94"/>
    <w:p w:rsidR="001A4A94" w:rsidRPr="008C555E" w:rsidRDefault="001A4A94" w:rsidP="001A4A94">
      <w:pPr>
        <w:rPr>
          <w:rFonts w:ascii="標楷體" w:eastAsia="標楷體" w:hAnsi="標楷體"/>
        </w:rPr>
      </w:pPr>
      <w:r w:rsidRPr="008C555E">
        <w:rPr>
          <w:rFonts w:ascii="標楷體" w:eastAsia="標楷體" w:hAnsi="標楷體" w:hint="eastAsia"/>
        </w:rPr>
        <w:tab/>
        <w:t>從以上的資料可以看出來，待加強的比例，我們在減少之中，而且在接近全國的標準。可是我要強調，全國的學生之中</w:t>
      </w:r>
      <w:r w:rsidR="00D74C36" w:rsidRPr="008C555E">
        <w:rPr>
          <w:rFonts w:ascii="標楷體" w:eastAsia="標楷體" w:hAnsi="標楷體" w:hint="eastAsia"/>
        </w:rPr>
        <w:t>課業落後</w:t>
      </w:r>
      <w:r w:rsidRPr="008C555E">
        <w:rPr>
          <w:rFonts w:ascii="標楷體" w:eastAsia="標楷體" w:hAnsi="標楷體" w:hint="eastAsia"/>
        </w:rPr>
        <w:t>的人本來就是少數，而我們的學生</w:t>
      </w:r>
      <w:proofErr w:type="gramStart"/>
      <w:r w:rsidRPr="008C555E">
        <w:rPr>
          <w:rFonts w:ascii="標楷體" w:eastAsia="標楷體" w:hAnsi="標楷體" w:hint="eastAsia"/>
        </w:rPr>
        <w:t>在來博幼</w:t>
      </w:r>
      <w:proofErr w:type="gramEnd"/>
      <w:r w:rsidRPr="008C555E">
        <w:rPr>
          <w:rFonts w:ascii="標楷體" w:eastAsia="標楷體" w:hAnsi="標楷體" w:hint="eastAsia"/>
        </w:rPr>
        <w:t>以前，</w:t>
      </w:r>
      <w:r w:rsidR="00D74C36" w:rsidRPr="008C555E">
        <w:rPr>
          <w:rFonts w:ascii="標楷體" w:eastAsia="標楷體" w:hAnsi="標楷體" w:hint="eastAsia"/>
        </w:rPr>
        <w:t>大多數</w:t>
      </w:r>
      <w:r w:rsidRPr="008C555E">
        <w:rPr>
          <w:rFonts w:ascii="標楷體" w:eastAsia="標楷體" w:hAnsi="標楷體" w:hint="eastAsia"/>
        </w:rPr>
        <w:t>都是</w:t>
      </w:r>
      <w:r w:rsidR="00D74C36" w:rsidRPr="008C555E">
        <w:rPr>
          <w:rFonts w:ascii="標楷體" w:eastAsia="標楷體" w:hAnsi="標楷體" w:hint="eastAsia"/>
        </w:rPr>
        <w:t>課業比較落後</w:t>
      </w:r>
      <w:r w:rsidRPr="008C555E">
        <w:rPr>
          <w:rFonts w:ascii="標楷體" w:eastAsia="標楷體" w:hAnsi="標楷體" w:hint="eastAsia"/>
        </w:rPr>
        <w:t>的學生。所以，從這些資料來看，我們的教育是相當有效的。如果用我們的方法來教全國所有的學生，各位可以想像得到，全國待加強的比例一定會減少。</w:t>
      </w:r>
    </w:p>
    <w:p w:rsidR="001A4A94" w:rsidRPr="008C555E" w:rsidRDefault="001A4A94" w:rsidP="001A4A94">
      <w:pPr>
        <w:rPr>
          <w:rFonts w:ascii="標楷體" w:eastAsia="標楷體" w:hAnsi="標楷體"/>
        </w:rPr>
      </w:pPr>
    </w:p>
    <w:p w:rsidR="001A4A94" w:rsidRPr="008C555E" w:rsidRDefault="001A4A94" w:rsidP="001A4A94">
      <w:pPr>
        <w:rPr>
          <w:rFonts w:ascii="標楷體" w:eastAsia="標楷體" w:hAnsi="標楷體"/>
        </w:rPr>
      </w:pPr>
      <w:r w:rsidRPr="008C555E">
        <w:rPr>
          <w:rFonts w:ascii="標楷體" w:eastAsia="標楷體" w:hAnsi="標楷體" w:hint="eastAsia"/>
        </w:rPr>
        <w:tab/>
        <w:t>還有一點，直到今天，全國仍然有三成左右的學生是待加強的，這個數字是不是表示我們國家有三成左右的學生沒有學會最基本的英文和數學?如果真的如此，那教育當局應該要負全責。可是好像整個國家對於這個百分比是無動於衷的，也就是說，整個國家不關心有多少學生是沒有學會最基本的英文和數學的。</w:t>
      </w:r>
    </w:p>
    <w:p w:rsidR="001A4A94" w:rsidRPr="008C555E" w:rsidRDefault="001A4A94" w:rsidP="001A4A94">
      <w:pPr>
        <w:rPr>
          <w:rFonts w:ascii="標楷體" w:eastAsia="標楷體" w:hAnsi="標楷體"/>
        </w:rPr>
      </w:pPr>
    </w:p>
    <w:p w:rsidR="001A4A94" w:rsidRPr="008C555E" w:rsidRDefault="001A4A94" w:rsidP="001A4A94">
      <w:pPr>
        <w:rPr>
          <w:rFonts w:ascii="標楷體" w:eastAsia="標楷體" w:hAnsi="標楷體"/>
        </w:rPr>
      </w:pPr>
      <w:r w:rsidRPr="008C555E">
        <w:rPr>
          <w:rFonts w:ascii="標楷體" w:eastAsia="標楷體" w:hAnsi="標楷體" w:hint="eastAsia"/>
        </w:rPr>
        <w:tab/>
        <w:t>我卻要說，我們同學之中，幾乎百分之百</w:t>
      </w:r>
      <w:r w:rsidR="00551C54" w:rsidRPr="008C555E">
        <w:rPr>
          <w:rFonts w:ascii="標楷體" w:eastAsia="標楷體" w:hAnsi="標楷體" w:hint="eastAsia"/>
        </w:rPr>
        <w:t>已經學會了最基本的數學和英文。但是他們的確沒有辦法應付會考的題目，也就是說，會考的題目中太少基本題目。我已經寫了不知道</w:t>
      </w:r>
      <w:proofErr w:type="gramStart"/>
      <w:r w:rsidR="00551C54" w:rsidRPr="008C555E">
        <w:rPr>
          <w:rFonts w:ascii="標楷體" w:eastAsia="標楷體" w:hAnsi="標楷體" w:hint="eastAsia"/>
        </w:rPr>
        <w:t>多少的</w:t>
      </w:r>
      <w:proofErr w:type="gramEnd"/>
      <w:r w:rsidR="00551C54" w:rsidRPr="008C555E">
        <w:rPr>
          <w:rFonts w:ascii="標楷體" w:eastAsia="標楷體" w:hAnsi="標楷體" w:hint="eastAsia"/>
        </w:rPr>
        <w:t>文章呼籲政府注意這件事，因為以數學為例，在全世界的數學測驗中，我國學生排名世界第四名，第一名是上海，這等於我們的大安區，第二名是新加坡，第三名是香港，這都是城市</w:t>
      </w:r>
      <w:r w:rsidR="00F11334" w:rsidRPr="008C555E">
        <w:rPr>
          <w:rFonts w:ascii="標楷體" w:eastAsia="標楷體" w:hAnsi="標楷體" w:hint="eastAsia"/>
        </w:rPr>
        <w:t>，</w:t>
      </w:r>
      <w:r w:rsidR="00551C54" w:rsidRPr="008C555E">
        <w:rPr>
          <w:rFonts w:ascii="標楷體" w:eastAsia="標楷體" w:hAnsi="標楷體" w:hint="eastAsia"/>
        </w:rPr>
        <w:t>我們的學生卻包含鄉下的學生。雖然國際間認為我們的學生數學不錯，我們國家卻一口咬定三成左右是待加強的。</w:t>
      </w:r>
    </w:p>
    <w:p w:rsidR="00551C54" w:rsidRPr="008C555E" w:rsidRDefault="00551C54" w:rsidP="001A4A94">
      <w:pPr>
        <w:rPr>
          <w:rFonts w:ascii="標楷體" w:eastAsia="標楷體" w:hAnsi="標楷體"/>
        </w:rPr>
      </w:pPr>
    </w:p>
    <w:p w:rsidR="00551C54" w:rsidRPr="008C555E" w:rsidRDefault="00551C54" w:rsidP="001A4A94">
      <w:pPr>
        <w:rPr>
          <w:rFonts w:ascii="標楷體" w:eastAsia="標楷體" w:hAnsi="標楷體"/>
        </w:rPr>
      </w:pPr>
      <w:r w:rsidRPr="008C555E">
        <w:rPr>
          <w:rFonts w:ascii="標楷體" w:eastAsia="標楷體" w:hAnsi="標楷體" w:hint="eastAsia"/>
        </w:rPr>
        <w:tab/>
        <w:t>我希望大家給博幼基金會的老師們一些掌聲，從前面的表中可以看出我們的老師已經將我們孩子的程度慢慢地逼近全國孩子的程度，這當然不是一件容易的</w:t>
      </w:r>
      <w:r w:rsidRPr="008C555E">
        <w:rPr>
          <w:rFonts w:ascii="標楷體" w:eastAsia="標楷體" w:hAnsi="標楷體" w:hint="eastAsia"/>
        </w:rPr>
        <w:lastRenderedPageBreak/>
        <w:t>事。可是我更希望政府能夠在會考中加入</w:t>
      </w:r>
      <w:r w:rsidR="00D74C36" w:rsidRPr="008C555E">
        <w:rPr>
          <w:rFonts w:ascii="標楷體" w:eastAsia="標楷體" w:hAnsi="標楷體" w:hint="eastAsia"/>
        </w:rPr>
        <w:t>更</w:t>
      </w:r>
      <w:r w:rsidRPr="008C555E">
        <w:rPr>
          <w:rFonts w:ascii="標楷體" w:eastAsia="標楷體" w:hAnsi="標楷體" w:hint="eastAsia"/>
        </w:rPr>
        <w:t>多基本的題目，如此才能看出究竟有多少學生連基本的學問都沒有學會。政府一定</w:t>
      </w:r>
      <w:r w:rsidR="009871AD">
        <w:rPr>
          <w:rFonts w:ascii="標楷體" w:eastAsia="標楷體" w:hAnsi="標楷體" w:hint="eastAsia"/>
        </w:rPr>
        <w:t>要知道，有一所國中85%的同學英文待加強，而89%的學生數學待加強</w:t>
      </w:r>
      <w:r w:rsidR="00F11334" w:rsidRPr="008C555E">
        <w:rPr>
          <w:rFonts w:ascii="標楷體" w:eastAsia="標楷體" w:hAnsi="標楷體" w:hint="eastAsia"/>
        </w:rPr>
        <w:t>。</w:t>
      </w:r>
      <w:r w:rsidR="009871AD">
        <w:rPr>
          <w:rFonts w:ascii="標楷體" w:eastAsia="標楷體" w:hAnsi="標楷體" w:hint="eastAsia"/>
        </w:rPr>
        <w:t>政府總不能假裝不知道</w:t>
      </w:r>
      <w:bookmarkStart w:id="0" w:name="_GoBack"/>
      <w:bookmarkEnd w:id="0"/>
      <w:r w:rsidR="009871AD">
        <w:rPr>
          <w:rFonts w:ascii="標楷體" w:eastAsia="標楷體" w:hAnsi="標楷體" w:hint="eastAsia"/>
        </w:rPr>
        <w:t>吧?</w:t>
      </w:r>
    </w:p>
    <w:sectPr w:rsidR="00551C54" w:rsidRPr="008C555E" w:rsidSect="005D00A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AD" w:rsidRDefault="00576DAD" w:rsidP="00F11334">
      <w:r>
        <w:separator/>
      </w:r>
    </w:p>
  </w:endnote>
  <w:endnote w:type="continuationSeparator" w:id="0">
    <w:p w:rsidR="00576DAD" w:rsidRDefault="00576DAD" w:rsidP="00F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62039"/>
      <w:docPartObj>
        <w:docPartGallery w:val="Page Numbers (Bottom of Page)"/>
        <w:docPartUnique/>
      </w:docPartObj>
    </w:sdtPr>
    <w:sdtEndPr/>
    <w:sdtContent>
      <w:p w:rsidR="00F11334" w:rsidRDefault="005D00AE">
        <w:pPr>
          <w:pStyle w:val="a6"/>
          <w:jc w:val="center"/>
        </w:pPr>
        <w:r>
          <w:fldChar w:fldCharType="begin"/>
        </w:r>
        <w:r w:rsidR="00F11334">
          <w:instrText>PAGE   \* MERGEFORMAT</w:instrText>
        </w:r>
        <w:r>
          <w:fldChar w:fldCharType="separate"/>
        </w:r>
        <w:r w:rsidR="009871AD" w:rsidRPr="009871AD">
          <w:rPr>
            <w:noProof/>
            <w:lang w:val="zh-TW"/>
          </w:rPr>
          <w:t>2</w:t>
        </w:r>
        <w:r>
          <w:fldChar w:fldCharType="end"/>
        </w:r>
      </w:p>
    </w:sdtContent>
  </w:sdt>
  <w:p w:rsidR="00F11334" w:rsidRDefault="00F113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AD" w:rsidRDefault="00576DAD" w:rsidP="00F11334">
      <w:r>
        <w:separator/>
      </w:r>
    </w:p>
  </w:footnote>
  <w:footnote w:type="continuationSeparator" w:id="0">
    <w:p w:rsidR="00576DAD" w:rsidRDefault="00576DAD" w:rsidP="00F1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A94"/>
    <w:rsid w:val="001A4A94"/>
    <w:rsid w:val="00216EDA"/>
    <w:rsid w:val="004D1135"/>
    <w:rsid w:val="00551C54"/>
    <w:rsid w:val="00576DAD"/>
    <w:rsid w:val="005D00AE"/>
    <w:rsid w:val="006D3016"/>
    <w:rsid w:val="008C555E"/>
    <w:rsid w:val="009871AD"/>
    <w:rsid w:val="00AA09F4"/>
    <w:rsid w:val="00B80BC7"/>
    <w:rsid w:val="00D74C36"/>
    <w:rsid w:val="00F11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1334"/>
    <w:pPr>
      <w:tabs>
        <w:tab w:val="center" w:pos="4153"/>
        <w:tab w:val="right" w:pos="8306"/>
      </w:tabs>
      <w:snapToGrid w:val="0"/>
    </w:pPr>
    <w:rPr>
      <w:sz w:val="20"/>
      <w:szCs w:val="20"/>
    </w:rPr>
  </w:style>
  <w:style w:type="character" w:customStyle="1" w:styleId="a5">
    <w:name w:val="頁首 字元"/>
    <w:basedOn w:val="a0"/>
    <w:link w:val="a4"/>
    <w:uiPriority w:val="99"/>
    <w:rsid w:val="00F11334"/>
    <w:rPr>
      <w:sz w:val="20"/>
      <w:szCs w:val="20"/>
    </w:rPr>
  </w:style>
  <w:style w:type="paragraph" w:styleId="a6">
    <w:name w:val="footer"/>
    <w:basedOn w:val="a"/>
    <w:link w:val="a7"/>
    <w:uiPriority w:val="99"/>
    <w:unhideWhenUsed/>
    <w:rsid w:val="00F11334"/>
    <w:pPr>
      <w:tabs>
        <w:tab w:val="center" w:pos="4153"/>
        <w:tab w:val="right" w:pos="8306"/>
      </w:tabs>
      <w:snapToGrid w:val="0"/>
    </w:pPr>
    <w:rPr>
      <w:sz w:val="20"/>
      <w:szCs w:val="20"/>
    </w:rPr>
  </w:style>
  <w:style w:type="character" w:customStyle="1" w:styleId="a7">
    <w:name w:val="頁尾 字元"/>
    <w:basedOn w:val="a0"/>
    <w:link w:val="a6"/>
    <w:uiPriority w:val="99"/>
    <w:rsid w:val="00F1133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1334"/>
    <w:pPr>
      <w:tabs>
        <w:tab w:val="center" w:pos="4153"/>
        <w:tab w:val="right" w:pos="8306"/>
      </w:tabs>
      <w:snapToGrid w:val="0"/>
    </w:pPr>
    <w:rPr>
      <w:sz w:val="20"/>
      <w:szCs w:val="20"/>
    </w:rPr>
  </w:style>
  <w:style w:type="character" w:customStyle="1" w:styleId="a5">
    <w:name w:val="頁首 字元"/>
    <w:basedOn w:val="a0"/>
    <w:link w:val="a4"/>
    <w:uiPriority w:val="99"/>
    <w:rsid w:val="00F11334"/>
    <w:rPr>
      <w:sz w:val="20"/>
      <w:szCs w:val="20"/>
    </w:rPr>
  </w:style>
  <w:style w:type="paragraph" w:styleId="a6">
    <w:name w:val="footer"/>
    <w:basedOn w:val="a"/>
    <w:link w:val="a7"/>
    <w:uiPriority w:val="99"/>
    <w:unhideWhenUsed/>
    <w:rsid w:val="00F11334"/>
    <w:pPr>
      <w:tabs>
        <w:tab w:val="center" w:pos="4153"/>
        <w:tab w:val="right" w:pos="8306"/>
      </w:tabs>
      <w:snapToGrid w:val="0"/>
    </w:pPr>
    <w:rPr>
      <w:sz w:val="20"/>
      <w:szCs w:val="20"/>
    </w:rPr>
  </w:style>
  <w:style w:type="character" w:customStyle="1" w:styleId="a7">
    <w:name w:val="頁尾 字元"/>
    <w:basedOn w:val="a0"/>
    <w:link w:val="a6"/>
    <w:uiPriority w:val="99"/>
    <w:rsid w:val="00F113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5</cp:revision>
  <dcterms:created xsi:type="dcterms:W3CDTF">2016-06-03T06:44:00Z</dcterms:created>
  <dcterms:modified xsi:type="dcterms:W3CDTF">2016-06-03T08:00:00Z</dcterms:modified>
</cp:coreProperties>
</file>